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48" w:rsidRPr="00123848" w:rsidRDefault="00123848" w:rsidP="00123848">
      <w:pPr>
        <w:pStyle w:val="a5"/>
        <w:shd w:val="clear" w:color="auto" w:fill="FFFFFF"/>
        <w:spacing w:line="294" w:lineRule="atLeast"/>
        <w:jc w:val="center"/>
        <w:rPr>
          <w:sz w:val="32"/>
          <w:szCs w:val="32"/>
        </w:rPr>
      </w:pPr>
      <w:r w:rsidRPr="00123848">
        <w:rPr>
          <w:rFonts w:ascii="仿宋_GB2312" w:eastAsia="仿宋_GB2312" w:hint="eastAsia"/>
          <w:color w:val="3F3F3F"/>
          <w:sz w:val="32"/>
          <w:szCs w:val="32"/>
        </w:rPr>
        <w:t>江苏省检察机关十条禁令</w:t>
      </w:r>
      <w:r w:rsidRPr="00123848">
        <w:rPr>
          <w:rFonts w:hint="eastAsia"/>
          <w:color w:val="3F3F3F"/>
          <w:sz w:val="32"/>
          <w:szCs w:val="32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color w:val="3F3F3F"/>
          <w:sz w:val="18"/>
          <w:szCs w:val="18"/>
        </w:rPr>
        <w:t> 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ascii="仿宋_GB2312" w:eastAsia="仿宋_GB2312" w:hint="eastAsia"/>
          <w:color w:val="3F3F3F"/>
          <w:sz w:val="19"/>
          <w:szCs w:val="19"/>
        </w:rPr>
        <w:t>为深入推进“不忘初心、牢记使命”主题教育，警示检察人员严格司法、谨慎用权、廉洁自律，结合近几年检察机关违纪违法问题易发多发环节，制定如下禁令，望严格遵守。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一、</w:t>
      </w:r>
      <w:r>
        <w:rPr>
          <w:rFonts w:hint="eastAsia"/>
          <w:color w:val="3F3F3F"/>
          <w:sz w:val="18"/>
          <w:szCs w:val="18"/>
        </w:rPr>
        <w:t> </w:t>
      </w:r>
      <w:r>
        <w:rPr>
          <w:rFonts w:ascii="仿宋_GB2312" w:eastAsia="仿宋_GB2312" w:hint="eastAsia"/>
          <w:color w:val="3F3F3F"/>
          <w:sz w:val="19"/>
          <w:szCs w:val="19"/>
        </w:rPr>
        <w:t>严禁违规过问、干预或插手检察办案等重大事项；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二、</w:t>
      </w:r>
      <w:r>
        <w:rPr>
          <w:rFonts w:hint="eastAsia"/>
          <w:color w:val="3F3F3F"/>
          <w:sz w:val="18"/>
          <w:szCs w:val="18"/>
        </w:rPr>
        <w:t> </w:t>
      </w:r>
      <w:r>
        <w:rPr>
          <w:rFonts w:ascii="仿宋_GB2312" w:eastAsia="仿宋_GB2312" w:hint="eastAsia"/>
          <w:color w:val="3F3F3F"/>
          <w:sz w:val="19"/>
          <w:szCs w:val="19"/>
        </w:rPr>
        <w:t>严禁充当司法掮客，影响案件正常办理；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三、严禁向案件当事人、律师或相关人员泄露案情、通风报信；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四、严禁私自会见案件当事人及其诉讼代理人，或接受上述人员宴请；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五、严禁为当事人推荐、介绍诉讼代理人、辩护人；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六、严禁隐瞒不报个人受到行政、刑事处罚及涉诉等情况；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七、严禁酒后驾车、公车私用和私车公养；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八、严禁接受与检察人员身份有关的礼品、礼金、消费卡等；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九、严禁违反规定经商办企业和兼职取酬；</w:t>
      </w:r>
      <w:r>
        <w:rPr>
          <w:rFonts w:hint="eastAsia"/>
          <w:color w:val="3F3F3F"/>
          <w:sz w:val="18"/>
          <w:szCs w:val="18"/>
        </w:rPr>
        <w:t> </w:t>
      </w:r>
    </w:p>
    <w:p w:rsidR="00123848" w:rsidRDefault="00123848" w:rsidP="00123848">
      <w:pPr>
        <w:pStyle w:val="a5"/>
        <w:shd w:val="clear" w:color="auto" w:fill="FFFFFF"/>
        <w:spacing w:line="294" w:lineRule="atLeast"/>
        <w:jc w:val="both"/>
        <w:rPr>
          <w:rFonts w:hint="eastAsia"/>
          <w:sz w:val="11"/>
          <w:szCs w:val="11"/>
        </w:rPr>
      </w:pPr>
      <w:r>
        <w:rPr>
          <w:rFonts w:ascii="仿宋_GB2312" w:eastAsia="仿宋_GB2312" w:hint="eastAsia"/>
          <w:color w:val="3F3F3F"/>
          <w:sz w:val="19"/>
          <w:szCs w:val="19"/>
        </w:rPr>
        <w:t xml:space="preserve">　　十、严禁组织、参与集资和高利贷活动。</w:t>
      </w:r>
      <w:r>
        <w:rPr>
          <w:rFonts w:hint="eastAsia"/>
          <w:color w:val="3F3F3F"/>
          <w:sz w:val="18"/>
          <w:szCs w:val="18"/>
        </w:rPr>
        <w:t> </w:t>
      </w:r>
    </w:p>
    <w:p w:rsidR="00617935" w:rsidRDefault="00617935"/>
    <w:sectPr w:rsidR="0061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35" w:rsidRDefault="00617935" w:rsidP="00123848">
      <w:r>
        <w:separator/>
      </w:r>
    </w:p>
  </w:endnote>
  <w:endnote w:type="continuationSeparator" w:id="1">
    <w:p w:rsidR="00617935" w:rsidRDefault="00617935" w:rsidP="0012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35" w:rsidRDefault="00617935" w:rsidP="00123848">
      <w:r>
        <w:separator/>
      </w:r>
    </w:p>
  </w:footnote>
  <w:footnote w:type="continuationSeparator" w:id="1">
    <w:p w:rsidR="00617935" w:rsidRDefault="00617935" w:rsidP="00123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848"/>
    <w:rsid w:val="00123848"/>
    <w:rsid w:val="0061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8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38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725">
              <w:marLeft w:val="0"/>
              <w:marRight w:val="0"/>
              <w:marTop w:val="138"/>
              <w:marBottom w:val="4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2020-09-01T07:55:00Z</dcterms:created>
  <dcterms:modified xsi:type="dcterms:W3CDTF">2020-09-01T07:56:00Z</dcterms:modified>
</cp:coreProperties>
</file>